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3F" w:rsidRPr="00EE58B2" w:rsidRDefault="00523E6E">
      <w:pPr>
        <w:spacing w:after="0" w:line="240" w:lineRule="auto"/>
        <w:ind w:left="8496" w:firstLine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8B2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="00B722F3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3D503F" w:rsidRPr="00EE58B2" w:rsidRDefault="00523E6E">
      <w:pPr>
        <w:spacing w:after="0" w:line="240" w:lineRule="auto"/>
        <w:ind w:left="8496" w:firstLine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8B2">
        <w:rPr>
          <w:rFonts w:ascii="Times New Roman" w:eastAsia="Times New Roman" w:hAnsi="Times New Roman" w:cs="Times New Roman"/>
          <w:b/>
          <w:sz w:val="24"/>
          <w:szCs w:val="24"/>
        </w:rPr>
        <w:t>Комерційна пропозиція №</w:t>
      </w:r>
      <w:r w:rsidR="00260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4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260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58B2">
        <w:rPr>
          <w:rFonts w:ascii="Times New Roman" w:eastAsia="Times New Roman" w:hAnsi="Times New Roman" w:cs="Times New Roman"/>
          <w:b/>
          <w:sz w:val="24"/>
          <w:szCs w:val="24"/>
        </w:rPr>
        <w:t xml:space="preserve">ТАРИФ </w:t>
      </w:r>
      <w:r w:rsidR="00A53390">
        <w:rPr>
          <w:rFonts w:ascii="Times New Roman" w:eastAsia="Times New Roman" w:hAnsi="Times New Roman" w:cs="Times New Roman"/>
          <w:b/>
          <w:sz w:val="24"/>
          <w:szCs w:val="24"/>
        </w:rPr>
        <w:t>БЕЗ РОЗПОДІЛ</w:t>
      </w:r>
      <w:r w:rsidR="004A7D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3D503F" w:rsidRPr="00EE58B2" w:rsidRDefault="00523E6E">
      <w:pPr>
        <w:spacing w:after="0" w:line="240" w:lineRule="auto"/>
        <w:ind w:left="8496" w:firstLine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8B2">
        <w:rPr>
          <w:rFonts w:ascii="Times New Roman" w:eastAsia="Times New Roman" w:hAnsi="Times New Roman" w:cs="Times New Roman"/>
          <w:b/>
          <w:sz w:val="24"/>
          <w:szCs w:val="24"/>
        </w:rPr>
        <w:t xml:space="preserve">До договору </w:t>
      </w:r>
      <w:r w:rsidR="00EE58B2" w:rsidRPr="00EE58B2">
        <w:rPr>
          <w:rFonts w:ascii="Times New Roman" w:eastAsia="Times New Roman" w:hAnsi="Times New Roman" w:cs="Times New Roman"/>
          <w:b/>
          <w:sz w:val="24"/>
          <w:szCs w:val="24"/>
        </w:rPr>
        <w:t>про постачання електричної енергії споживачу (приєднання)</w:t>
      </w:r>
    </w:p>
    <w:p w:rsidR="003D503F" w:rsidRPr="00567A17" w:rsidRDefault="00523E6E">
      <w:pPr>
        <w:rPr>
          <w:rFonts w:ascii="Times New Roman" w:eastAsia="Times New Roman" w:hAnsi="Times New Roman" w:cs="Times New Roman"/>
          <w:sz w:val="24"/>
          <w:szCs w:val="24"/>
        </w:rPr>
      </w:pPr>
      <w:r w:rsidRPr="00567A17">
        <w:rPr>
          <w:rFonts w:ascii="Times New Roman" w:eastAsia="Times New Roman" w:hAnsi="Times New Roman" w:cs="Times New Roman"/>
          <w:sz w:val="24"/>
          <w:szCs w:val="24"/>
        </w:rPr>
        <w:t>1.</w:t>
      </w:r>
    </w:p>
    <w:tbl>
      <w:tblPr>
        <w:tblStyle w:val="a5"/>
        <w:tblW w:w="145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865"/>
      </w:tblGrid>
      <w:tr w:rsidR="003D503F" w:rsidTr="00567A17">
        <w:tc>
          <w:tcPr>
            <w:tcW w:w="1696" w:type="dxa"/>
          </w:tcPr>
          <w:p w:rsidR="003D503F" w:rsidRDefault="00523E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</w:t>
            </w:r>
          </w:p>
        </w:tc>
        <w:tc>
          <w:tcPr>
            <w:tcW w:w="12865" w:type="dxa"/>
          </w:tcPr>
          <w:p w:rsidR="003D503F" w:rsidRDefault="00523E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ДОЧІРНЄ ПІДПРИЄМСТВО «ПРОФІТ ХАБ» (код ЄДРПОУ 41697846)</w:t>
            </w:r>
          </w:p>
        </w:tc>
      </w:tr>
      <w:tr w:rsidR="008924F1" w:rsidTr="00567A17">
        <w:tc>
          <w:tcPr>
            <w:tcW w:w="1696" w:type="dxa"/>
          </w:tcPr>
          <w:p w:rsidR="008924F1" w:rsidRDefault="008924F1" w:rsidP="008924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Споживач</w:t>
            </w:r>
          </w:p>
        </w:tc>
        <w:tc>
          <w:tcPr>
            <w:tcW w:w="12865" w:type="dxa"/>
          </w:tcPr>
          <w:p w:rsidR="008924F1" w:rsidRDefault="008924F1" w:rsidP="008924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Особа, яка приєдналась до цього договору відповідно до умов та положень ст.634 Цивільного кодексу України;</w:t>
            </w:r>
          </w:p>
          <w:p w:rsidR="008924F1" w:rsidRDefault="008924F1" w:rsidP="008924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54CD7">
              <w:rPr>
                <w:rFonts w:ascii="Times New Roman" w:eastAsia="Times New Roman" w:hAnsi="Times New Roman" w:cs="Times New Roman"/>
                <w:b/>
                <w:bCs/>
              </w:rPr>
              <w:t>Споживач</w:t>
            </w:r>
            <w:r>
              <w:rPr>
                <w:rFonts w:ascii="Times New Roman" w:eastAsia="Times New Roman" w:hAnsi="Times New Roman" w:cs="Times New Roman"/>
              </w:rPr>
              <w:t xml:space="preserve"> є власником (користувачем) об’єкта;</w:t>
            </w:r>
          </w:p>
          <w:p w:rsidR="008924F1" w:rsidRDefault="008924F1" w:rsidP="008924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наявні у </w:t>
            </w:r>
            <w:r w:rsidRPr="00354CD7">
              <w:rPr>
                <w:rFonts w:ascii="Times New Roman" w:eastAsia="Times New Roman" w:hAnsi="Times New Roman" w:cs="Times New Roman"/>
                <w:b/>
                <w:bCs/>
              </w:rPr>
              <w:t>Споживача</w:t>
            </w:r>
            <w:r>
              <w:rPr>
                <w:rFonts w:ascii="Times New Roman" w:eastAsia="Times New Roman" w:hAnsi="Times New Roman" w:cs="Times New Roman"/>
              </w:rPr>
              <w:t xml:space="preserve"> засоби обліку електричної енергії забезпечують можливість фіксації обсягу погодинного (група «а»</w:t>
            </w:r>
            <w:r w:rsidR="00260A35">
              <w:rPr>
                <w:rFonts w:ascii="Times New Roman" w:eastAsia="Times New Roman" w:hAnsi="Times New Roman" w:cs="Times New Roman"/>
              </w:rPr>
              <w:t xml:space="preserve"> та група «б»</w:t>
            </w:r>
            <w:r>
              <w:rPr>
                <w:rFonts w:ascii="Times New Roman" w:eastAsia="Times New Roman" w:hAnsi="Times New Roman" w:cs="Times New Roman"/>
              </w:rPr>
              <w:t>) споживання електричної енергії (Постанова НКРЕКП від 28.12.2018 за №2118 «</w:t>
            </w:r>
            <w:bookmarkStart w:id="0" w:name="n3"/>
            <w:bookmarkEnd w:id="0"/>
            <w:r w:rsidRPr="00133982">
              <w:rPr>
                <w:rFonts w:ascii="Times New Roman" w:eastAsia="Times New Roman" w:hAnsi="Times New Roman" w:cs="Times New Roman"/>
              </w:rPr>
              <w:t xml:space="preserve">Про затвердження Тимчасового порядку визначення обсягів купівлі електричної енергії на ринку електричної енергії </w:t>
            </w:r>
            <w:proofErr w:type="spellStart"/>
            <w:r w:rsidRPr="00133982">
              <w:rPr>
                <w:rFonts w:ascii="Times New Roman" w:eastAsia="Times New Roman" w:hAnsi="Times New Roman" w:cs="Times New Roman"/>
              </w:rPr>
              <w:t>електропостачальниками</w:t>
            </w:r>
            <w:proofErr w:type="spellEnd"/>
            <w:r w:rsidRPr="00133982">
              <w:rPr>
                <w:rFonts w:ascii="Times New Roman" w:eastAsia="Times New Roman" w:hAnsi="Times New Roman" w:cs="Times New Roman"/>
              </w:rPr>
              <w:t xml:space="preserve"> та операторами систем розподілу на перехідний період»</w:t>
            </w:r>
            <w:bookmarkStart w:id="1" w:name="n164"/>
            <w:bookmarkStart w:id="2" w:name="n160"/>
            <w:bookmarkEnd w:id="1"/>
            <w:bookmarkEnd w:id="2"/>
            <w:r>
              <w:rPr>
                <w:rFonts w:ascii="Times New Roman" w:eastAsia="Times New Roman" w:hAnsi="Times New Roman" w:cs="Times New Roman"/>
              </w:rPr>
              <w:t>,</w:t>
            </w:r>
            <w:r w:rsidRPr="001339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і</w:t>
            </w:r>
            <w:r w:rsidRPr="00133982">
              <w:rPr>
                <w:rFonts w:ascii="Times New Roman" w:eastAsia="Times New Roman" w:hAnsi="Times New Roman" w:cs="Times New Roman"/>
              </w:rPr>
              <w:t xml:space="preserve">з змінами, внесеними згідно з Постановами </w:t>
            </w:r>
            <w:r>
              <w:rPr>
                <w:rFonts w:ascii="Times New Roman" w:eastAsia="Times New Roman" w:hAnsi="Times New Roman" w:cs="Times New Roman"/>
              </w:rPr>
              <w:t xml:space="preserve">НКРЕКП </w:t>
            </w:r>
            <w:hyperlink r:id="rId6" w:anchor="n40" w:tgtFrame="_blank" w:history="1">
              <w:r w:rsidRPr="00133982">
                <w:rPr>
                  <w:rFonts w:ascii="Times New Roman" w:eastAsia="Times New Roman" w:hAnsi="Times New Roman" w:cs="Times New Roman"/>
                </w:rPr>
                <w:t>№191 від 12.02.2019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hyperlink r:id="rId7" w:anchor="n5" w:tgtFrame="_blank" w:history="1">
              <w:r w:rsidRPr="00133982">
                <w:rPr>
                  <w:rFonts w:ascii="Times New Roman" w:eastAsia="Times New Roman" w:hAnsi="Times New Roman" w:cs="Times New Roman"/>
                </w:rPr>
                <w:t>№1031 від 11.06.2019</w:t>
              </w:r>
            </w:hyperlink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8924F1" w:rsidRDefault="008924F1" w:rsidP="008924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54CD7">
              <w:rPr>
                <w:rFonts w:ascii="Times New Roman" w:eastAsia="Times New Roman" w:hAnsi="Times New Roman" w:cs="Times New Roman"/>
                <w:b/>
                <w:bCs/>
              </w:rPr>
              <w:t>Споживач</w:t>
            </w:r>
            <w:r>
              <w:rPr>
                <w:rFonts w:ascii="Times New Roman" w:eastAsia="Times New Roman" w:hAnsi="Times New Roman" w:cs="Times New Roman"/>
              </w:rPr>
              <w:t xml:space="preserve"> приєднався до умов договору споживача про надання послуг з розподілу (передачі) електричної енергії;</w:t>
            </w:r>
          </w:p>
          <w:p w:rsidR="008924F1" w:rsidRDefault="008924F1" w:rsidP="008924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відсутність заборгованості за спожиту електричну енергію перед іншим постачальником або наявність договору реструктуризації такої заборгованості, умови якого виконуються належним чином.</w:t>
            </w:r>
          </w:p>
        </w:tc>
      </w:tr>
    </w:tbl>
    <w:p w:rsidR="003D503F" w:rsidRDefault="003D503F">
      <w:pPr>
        <w:rPr>
          <w:rFonts w:ascii="Times New Roman" w:eastAsia="Times New Roman" w:hAnsi="Times New Roman" w:cs="Times New Roman"/>
        </w:rPr>
      </w:pPr>
    </w:p>
    <w:p w:rsidR="003D503F" w:rsidRDefault="00523E6E">
      <w:pPr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Комерційна пропозиція № </w:t>
      </w:r>
      <w:r w:rsidR="006A64B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A53390">
        <w:rPr>
          <w:rFonts w:ascii="Times New Roman" w:eastAsia="Times New Roman" w:hAnsi="Times New Roman" w:cs="Times New Roman"/>
          <w:b/>
          <w:sz w:val="26"/>
          <w:szCs w:val="26"/>
        </w:rPr>
        <w:t>БЕЗ РОЗПОДІЛ</w:t>
      </w:r>
      <w:r w:rsidR="004A7D28">
        <w:rPr>
          <w:rFonts w:ascii="Times New Roman" w:eastAsia="Times New Roman" w:hAnsi="Times New Roman" w:cs="Times New Roman"/>
          <w:b/>
          <w:sz w:val="26"/>
          <w:szCs w:val="26"/>
        </w:rPr>
        <w:t>У</w:t>
      </w:r>
    </w:p>
    <w:tbl>
      <w:tblPr>
        <w:tblStyle w:val="a6"/>
        <w:tblW w:w="145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10597"/>
      </w:tblGrid>
      <w:tr w:rsidR="003D503F">
        <w:trPr>
          <w:trHeight w:val="160"/>
          <w:jc w:val="center"/>
        </w:trPr>
        <w:tc>
          <w:tcPr>
            <w:tcW w:w="846" w:type="dxa"/>
            <w:vMerge w:val="restart"/>
            <w:vAlign w:val="center"/>
          </w:tcPr>
          <w:p w:rsidR="003D503F" w:rsidRPr="00724CC5" w:rsidRDefault="00523E6E" w:rsidP="000D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eastAsia="Times New Roman" w:hAnsi="Times New Roman" w:cs="Times New Roman"/>
                <w:sz w:val="24"/>
                <w:szCs w:val="24"/>
              </w:rPr>
              <w:t>№ з/ч</w:t>
            </w:r>
          </w:p>
        </w:tc>
        <w:tc>
          <w:tcPr>
            <w:tcW w:w="3118" w:type="dxa"/>
            <w:vMerge w:val="restart"/>
            <w:vAlign w:val="center"/>
          </w:tcPr>
          <w:p w:rsidR="003D503F" w:rsidRPr="00567A17" w:rsidRDefault="00523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</w:t>
            </w:r>
            <w:r w:rsidR="00B722F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постачання</w:t>
            </w:r>
          </w:p>
        </w:tc>
        <w:tc>
          <w:tcPr>
            <w:tcW w:w="10597" w:type="dxa"/>
            <w:vAlign w:val="center"/>
          </w:tcPr>
          <w:p w:rsidR="003D503F" w:rsidRDefault="00523E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комерційної пропозиції</w:t>
            </w:r>
          </w:p>
        </w:tc>
      </w:tr>
      <w:tr w:rsidR="003D503F">
        <w:trPr>
          <w:trHeight w:val="120"/>
          <w:jc w:val="center"/>
        </w:trPr>
        <w:tc>
          <w:tcPr>
            <w:tcW w:w="846" w:type="dxa"/>
            <w:vMerge/>
            <w:vAlign w:val="center"/>
          </w:tcPr>
          <w:p w:rsidR="003D503F" w:rsidRDefault="003D503F" w:rsidP="000D3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3D503F" w:rsidRPr="00567A17" w:rsidRDefault="003D5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7" w:type="dxa"/>
            <w:vAlign w:val="center"/>
          </w:tcPr>
          <w:p w:rsidR="003D503F" w:rsidRDefault="00523E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ТАРИФ </w:t>
            </w:r>
            <w:r w:rsidR="00A53390">
              <w:rPr>
                <w:rFonts w:ascii="Times New Roman" w:eastAsia="Times New Roman" w:hAnsi="Times New Roman" w:cs="Times New Roman"/>
                <w:b/>
              </w:rPr>
              <w:t>БЕЗ РОЗПОДІЛ</w:t>
            </w:r>
            <w:r w:rsidR="004A7D28">
              <w:rPr>
                <w:rFonts w:ascii="Times New Roman" w:eastAsia="Times New Roman" w:hAnsi="Times New Roman" w:cs="Times New Roman"/>
                <w:b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73E41">
        <w:trPr>
          <w:jc w:val="center"/>
        </w:trPr>
        <w:tc>
          <w:tcPr>
            <w:tcW w:w="846" w:type="dxa"/>
            <w:vAlign w:val="center"/>
          </w:tcPr>
          <w:p w:rsidR="00C73E41" w:rsidRDefault="00133982" w:rsidP="000D39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399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C73E41" w:rsidRPr="00567A17" w:rsidRDefault="00C73E41" w:rsidP="00C7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r w:rsidR="000D3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електричної енергії</w:t>
            </w:r>
          </w:p>
        </w:tc>
        <w:tc>
          <w:tcPr>
            <w:tcW w:w="10597" w:type="dxa"/>
            <w:vAlign w:val="center"/>
          </w:tcPr>
          <w:p w:rsidR="00B722F3" w:rsidRDefault="00F96ABE" w:rsidP="00867C90">
            <w:pPr>
              <w:pStyle w:val="a7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B722F3" w:rsidRPr="0053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еханізм визначення ціни на електричну енергію для Споживача у відповідному розрахунковому періоді</w:t>
            </w:r>
            <w:r w:rsidRPr="0053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групи «а»:</w:t>
            </w:r>
          </w:p>
          <w:p w:rsidR="00531D8C" w:rsidRPr="00531D8C" w:rsidRDefault="00531D8C" w:rsidP="00531D8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2F3" w:rsidRDefault="00B722F3" w:rsidP="00B722F3">
            <w:pPr>
              <w:ind w:left="6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Цпост</w:t>
            </w:r>
            <w:proofErr w:type="spellEnd"/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Цфакт</w:t>
            </w:r>
            <w:proofErr w:type="spellEnd"/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6E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Тпос</w:t>
            </w:r>
            <w:proofErr w:type="spellEnd"/>
            <w:r w:rsidR="006E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3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313349"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13349"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Тпер</w:t>
            </w:r>
            <w:proofErr w:type="spellEnd"/>
          </w:p>
          <w:p w:rsidR="00DD2D3F" w:rsidRDefault="00B722F3" w:rsidP="00DD2D3F"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де,</w:t>
            </w:r>
            <w:r w:rsidR="00DD2D3F">
              <w:t xml:space="preserve"> </w:t>
            </w:r>
          </w:p>
          <w:p w:rsidR="00313349" w:rsidRPr="00776A67" w:rsidRDefault="00313349" w:rsidP="0031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Цфакт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фактична ринкова ціна за 1 кВт/год, що склалась у місяць поставки на енергетичн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ринках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розраховується щомісячно, відповідно до 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 наведена нижче:</w:t>
            </w:r>
          </w:p>
          <w:p w:rsidR="00C82649" w:rsidRDefault="00C82649" w:rsidP="0031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9" w:rsidRDefault="00C82649" w:rsidP="0031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49" w:rsidRPr="009F2AF2" w:rsidRDefault="00624452" w:rsidP="00313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факт(група а)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рдд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рдд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вд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рдд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вд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+Кнб</m:t>
                </m:r>
              </m:oMath>
            </m:oMathPara>
          </w:p>
          <w:p w:rsidR="00C82649" w:rsidRPr="00531D8C" w:rsidRDefault="00C82649" w:rsidP="00313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649" w:rsidRPr="00776A67" w:rsidRDefault="00313349" w:rsidP="00330C33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де,</w:t>
            </w:r>
          </w:p>
          <w:p w:rsidR="00313349" w:rsidRPr="00776A67" w:rsidRDefault="00313349" w:rsidP="0022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Црдд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ціна, що склалась на ринку двосторонніх договорів в розрахунковому місяці</w:t>
            </w:r>
            <w:r w:rsidR="00773E70">
              <w:rPr>
                <w:rFonts w:ascii="Times New Roman" w:hAnsi="Times New Roman" w:cs="Times New Roman"/>
                <w:sz w:val="24"/>
                <w:szCs w:val="24"/>
              </w:rPr>
              <w:t xml:space="preserve"> за кожну годину доби поставки</w:t>
            </w:r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3349" w:rsidRDefault="00313349" w:rsidP="0022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Црдн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ціна, що склалась на ринку «на добу на перед» в розрахунковому місяці</w:t>
            </w:r>
            <w:r w:rsidR="00773E70">
              <w:rPr>
                <w:rFonts w:ascii="Times New Roman" w:hAnsi="Times New Roman" w:cs="Times New Roman"/>
                <w:sz w:val="24"/>
                <w:szCs w:val="24"/>
              </w:rPr>
              <w:t xml:space="preserve"> за кожну годину доби поставки</w:t>
            </w:r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C33" w:rsidRDefault="00330C33" w:rsidP="0086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33">
              <w:rPr>
                <w:rFonts w:ascii="Times New Roman" w:hAnsi="Times New Roman" w:cs="Times New Roman"/>
                <w:sz w:val="24"/>
                <w:szCs w:val="24"/>
              </w:rPr>
              <w:t>Цвд</w:t>
            </w:r>
            <w:proofErr w:type="spellEnd"/>
            <w:r w:rsidRPr="00330C33">
              <w:rPr>
                <w:rFonts w:ascii="Times New Roman" w:hAnsi="Times New Roman" w:cs="Times New Roman"/>
                <w:sz w:val="24"/>
                <w:szCs w:val="24"/>
              </w:rPr>
              <w:t xml:space="preserve"> – ціна, що склалась на внутрішньодобовому ринку в розрахунковому місяці за кожну годину доби поставки;</w:t>
            </w:r>
          </w:p>
          <w:p w:rsidR="00313349" w:rsidRPr="00776A67" w:rsidRDefault="00313349" w:rsidP="0086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Wрдд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обсяг електричної енергії куплений на ринку двосторонніх договорів в  розрахунковому місяці;</w:t>
            </w:r>
          </w:p>
          <w:p w:rsidR="00313349" w:rsidRPr="00776A67" w:rsidRDefault="00313349" w:rsidP="0086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Wрдн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обсяг електричної енергії куплений на ринку «доба на перед» в  розрахунковому місяці;</w:t>
            </w:r>
          </w:p>
          <w:p w:rsidR="00313349" w:rsidRDefault="00313349" w:rsidP="0086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Wвд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обсяг електричної енергії куплений на внутрішньодобовому ринку в розрахунковому місяці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0B0" w:rsidRDefault="008F00B0" w:rsidP="00313349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A7" w:rsidRPr="00867C90" w:rsidRDefault="00313349" w:rsidP="00BA59A7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разі відхилення від </w:t>
            </w:r>
            <w:r w:rsidR="00BA59A7">
              <w:rPr>
                <w:rFonts w:ascii="Times New Roman" w:hAnsi="Times New Roman" w:cs="Times New Roman"/>
                <w:sz w:val="24"/>
                <w:szCs w:val="24"/>
              </w:rPr>
              <w:t>прогнозного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обсягу споживання, </w:t>
            </w:r>
            <w:r w:rsidRPr="00892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компенсує Постачальнику витрати на купівлю обсягу електричної енергії, що спожитий понад </w:t>
            </w:r>
            <w:r w:rsidR="00BA59A7">
              <w:rPr>
                <w:rFonts w:ascii="Times New Roman" w:hAnsi="Times New Roman" w:cs="Times New Roman"/>
                <w:sz w:val="24"/>
                <w:szCs w:val="24"/>
              </w:rPr>
              <w:t>прогнозний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обсяг або</w:t>
            </w:r>
            <w:r w:rsidR="008474F9" w:rsidRPr="008474F9">
              <w:rPr>
                <w:rFonts w:ascii="Times New Roman" w:hAnsi="Times New Roman" w:cs="Times New Roman"/>
                <w:sz w:val="24"/>
                <w:szCs w:val="24"/>
              </w:rPr>
              <w:t xml:space="preserve"> витрати </w:t>
            </w:r>
            <w:r w:rsidR="00847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неспожит</w:t>
            </w:r>
            <w:r w:rsidR="00BA59A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90">
              <w:rPr>
                <w:rFonts w:ascii="Times New Roman" w:hAnsi="Times New Roman" w:cs="Times New Roman"/>
                <w:sz w:val="24"/>
                <w:szCs w:val="24"/>
              </w:rPr>
              <w:t>від замовлено</w:t>
            </w:r>
            <w:r w:rsidR="008F00B0" w:rsidRPr="00867C9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474F9" w:rsidRPr="0086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74F9" w:rsidRPr="0086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</w:t>
            </w:r>
            <w:proofErr w:type="spellEnd"/>
            <w:r w:rsidR="008474F9" w:rsidRPr="0086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A59A7" w:rsidRPr="0086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578" w:rsidRPr="00867C90" w:rsidRDefault="00225578" w:rsidP="0022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>Кнб</w:t>
            </w:r>
            <w:proofErr w:type="spellEnd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 xml:space="preserve"> – витрати постачальника на покриття небалансів в межах узгодженого гранично допустимого відхилення між фактичними та плановими обсягами електричної енергії визначаються за наступною </w:t>
            </w:r>
          </w:p>
          <w:p w:rsidR="00225578" w:rsidRPr="00867C90" w:rsidRDefault="00225578" w:rsidP="0022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="009F2AF2" w:rsidRPr="0086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>ю:</w:t>
            </w:r>
          </w:p>
          <w:tbl>
            <w:tblPr>
              <w:tblStyle w:val="ac"/>
              <w:tblpPr w:leftFromText="180" w:rightFromText="180" w:vertAnchor="text" w:horzAnchor="margin" w:tblpY="-238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276"/>
              <w:gridCol w:w="1276"/>
              <w:gridCol w:w="1275"/>
              <w:gridCol w:w="1276"/>
              <w:gridCol w:w="1276"/>
            </w:tblGrid>
            <w:tr w:rsidR="00C82649" w:rsidRPr="00867C90" w:rsidTr="009E0C42">
              <w:trPr>
                <w:trHeight w:val="525"/>
              </w:trPr>
              <w:tc>
                <w:tcPr>
                  <w:tcW w:w="3539" w:type="dxa"/>
                </w:tcPr>
                <w:p w:rsidR="00C82649" w:rsidRPr="00867C90" w:rsidRDefault="00C82649" w:rsidP="00C826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Межі граничного допустимого відхилення</w:t>
                  </w:r>
                </w:p>
              </w:tc>
              <w:tc>
                <w:tcPr>
                  <w:tcW w:w="1276" w:type="dxa"/>
                </w:tcPr>
                <w:p w:rsidR="00C82649" w:rsidRPr="00867C90" w:rsidRDefault="00C82649" w:rsidP="00C82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±3%</w:t>
                  </w:r>
                </w:p>
              </w:tc>
              <w:tc>
                <w:tcPr>
                  <w:tcW w:w="1276" w:type="dxa"/>
                </w:tcPr>
                <w:p w:rsidR="00C82649" w:rsidRPr="00867C90" w:rsidRDefault="00C82649" w:rsidP="00C82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±5%</w:t>
                  </w:r>
                </w:p>
              </w:tc>
              <w:tc>
                <w:tcPr>
                  <w:tcW w:w="1275" w:type="dxa"/>
                </w:tcPr>
                <w:p w:rsidR="00C82649" w:rsidRPr="00867C90" w:rsidRDefault="00C82649" w:rsidP="00C82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±10%</w:t>
                  </w:r>
                </w:p>
              </w:tc>
              <w:tc>
                <w:tcPr>
                  <w:tcW w:w="1276" w:type="dxa"/>
                </w:tcPr>
                <w:p w:rsidR="00C82649" w:rsidRPr="00867C90" w:rsidRDefault="00C82649" w:rsidP="00C82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±15%</w:t>
                  </w:r>
                </w:p>
              </w:tc>
              <w:tc>
                <w:tcPr>
                  <w:tcW w:w="1276" w:type="dxa"/>
                </w:tcPr>
                <w:p w:rsidR="00C82649" w:rsidRPr="00867C90" w:rsidRDefault="00C82649" w:rsidP="00C82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±20%</w:t>
                  </w:r>
                </w:p>
              </w:tc>
            </w:tr>
            <w:tr w:rsidR="00C82649" w:rsidRPr="00867C90" w:rsidTr="009E0C42">
              <w:trPr>
                <w:trHeight w:val="525"/>
              </w:trPr>
              <w:tc>
                <w:tcPr>
                  <w:tcW w:w="3539" w:type="dxa"/>
                </w:tcPr>
                <w:p w:rsidR="00C82649" w:rsidRPr="00867C90" w:rsidRDefault="00330C33" w:rsidP="00C826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867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82649" w:rsidRPr="00867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адбавка за покриття небалансів, грн./кВт*год</w:t>
                  </w:r>
                </w:p>
              </w:tc>
              <w:tc>
                <w:tcPr>
                  <w:tcW w:w="1276" w:type="dxa"/>
                </w:tcPr>
                <w:p w:rsidR="00C82649" w:rsidRPr="00867C90" w:rsidRDefault="00C82649" w:rsidP="00C82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0,013</w:t>
                  </w:r>
                </w:p>
              </w:tc>
              <w:tc>
                <w:tcPr>
                  <w:tcW w:w="1276" w:type="dxa"/>
                </w:tcPr>
                <w:p w:rsidR="00C82649" w:rsidRPr="00867C90" w:rsidRDefault="00C82649" w:rsidP="00C82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0,021</w:t>
                  </w:r>
                </w:p>
              </w:tc>
              <w:tc>
                <w:tcPr>
                  <w:tcW w:w="1275" w:type="dxa"/>
                </w:tcPr>
                <w:p w:rsidR="00C82649" w:rsidRPr="00867C90" w:rsidRDefault="00C82649" w:rsidP="00C82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0,042</w:t>
                  </w:r>
                </w:p>
              </w:tc>
              <w:tc>
                <w:tcPr>
                  <w:tcW w:w="1276" w:type="dxa"/>
                </w:tcPr>
                <w:p w:rsidR="00C82649" w:rsidRPr="00867C90" w:rsidRDefault="00C82649" w:rsidP="00C82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276" w:type="dxa"/>
                </w:tcPr>
                <w:p w:rsidR="00C82649" w:rsidRPr="00867C90" w:rsidRDefault="00C82649" w:rsidP="00C82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0,07</w:t>
                  </w:r>
                </w:p>
              </w:tc>
            </w:tr>
          </w:tbl>
          <w:p w:rsidR="006A64B3" w:rsidRPr="00867C90" w:rsidRDefault="006A64B3" w:rsidP="006A6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4B3" w:rsidRPr="00867C90" w:rsidRDefault="006A64B3" w:rsidP="006A64B3">
            <w:pPr>
              <w:rPr>
                <w:rFonts w:ascii="Times New Roman" w:hAnsi="Times New Roman" w:cs="Times New Roman"/>
              </w:rPr>
            </w:pPr>
            <w:proofErr w:type="spellStart"/>
            <w:r w:rsidRPr="0086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Тпос</w:t>
            </w:r>
            <w:proofErr w:type="spellEnd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90">
              <w:rPr>
                <w:rFonts w:ascii="Times New Roman" w:hAnsi="Times New Roman" w:cs="Times New Roman"/>
              </w:rPr>
              <w:t>–  тариф постачальника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5"/>
              <w:gridCol w:w="5186"/>
            </w:tblGrid>
            <w:tr w:rsidR="006A64B3" w:rsidRPr="00867C90" w:rsidTr="009E0C42">
              <w:tc>
                <w:tcPr>
                  <w:tcW w:w="10371" w:type="dxa"/>
                  <w:gridSpan w:val="2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 постачальника</w:t>
                  </w:r>
                </w:p>
              </w:tc>
            </w:tr>
            <w:tr w:rsidR="006A64B3" w:rsidRPr="00867C90" w:rsidTr="009E0C42">
              <w:tc>
                <w:tcPr>
                  <w:tcW w:w="5185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Обсяг місячного споживання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Тариф, % за кВт*год, без ПДВ</w:t>
                  </w:r>
                </w:p>
              </w:tc>
            </w:tr>
            <w:tr w:rsidR="006A64B3" w:rsidRPr="00867C90" w:rsidTr="009E0C42">
              <w:tc>
                <w:tcPr>
                  <w:tcW w:w="5185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тис. кВт*год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A64B3" w:rsidRPr="00867C90" w:rsidTr="009E0C42">
              <w:tc>
                <w:tcPr>
                  <w:tcW w:w="5185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100 тис. кВт*год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A64B3" w:rsidRPr="00867C90" w:rsidTr="009E0C42">
              <w:tc>
                <w:tcPr>
                  <w:tcW w:w="5185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200 тис. кВт*год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A64B3" w:rsidRPr="00867C90" w:rsidTr="009E0C42">
              <w:tc>
                <w:tcPr>
                  <w:tcW w:w="5185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500 тис. кВт*год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A64B3" w:rsidTr="009E0C42">
              <w:tc>
                <w:tcPr>
                  <w:tcW w:w="5185" w:type="dxa"/>
                  <w:vAlign w:val="center"/>
                </w:tcPr>
                <w:p w:rsidR="006A64B3" w:rsidRPr="006C1775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Понад</w:t>
                  </w:r>
                  <w:r w:rsidRPr="006C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500 тис. кВт*год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домовленістю</w:t>
                  </w:r>
                </w:p>
              </w:tc>
            </w:tr>
          </w:tbl>
          <w:p w:rsidR="006A64B3" w:rsidRPr="00DD2D3F" w:rsidRDefault="006A64B3" w:rsidP="006A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Тпер</w:t>
            </w:r>
            <w:proofErr w:type="spellEnd"/>
            <w:r w:rsidRPr="00DD2D3F">
              <w:rPr>
                <w:rFonts w:ascii="Times New Roman" w:hAnsi="Times New Roman" w:cs="Times New Roman"/>
                <w:sz w:val="24"/>
                <w:szCs w:val="24"/>
              </w:rPr>
              <w:t xml:space="preserve"> – тариф на передачу НЕК «ДП Укренерго» в відповідному місяці поставки.</w:t>
            </w:r>
          </w:p>
          <w:p w:rsidR="00F96ABE" w:rsidRDefault="00F96ABE" w:rsidP="00260A35">
            <w:pPr>
              <w:pStyle w:val="a7"/>
              <w:ind w:left="738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1D8C" w:rsidRDefault="00F96ABE" w:rsidP="009F2AF2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Механізм визначення ціни на електричну енергію для Споживача у відповідному розрахунковому періоді група «б»: </w:t>
            </w:r>
          </w:p>
          <w:p w:rsidR="009F2AF2" w:rsidRPr="009F2AF2" w:rsidRDefault="009F2AF2" w:rsidP="009F2A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ABE" w:rsidRDefault="00F96ABE" w:rsidP="00F96ABE">
            <w:pPr>
              <w:ind w:left="6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Цпост</w:t>
            </w:r>
            <w:proofErr w:type="spellEnd"/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</w:t>
            </w:r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Тпер</w:t>
            </w:r>
            <w:proofErr w:type="spellEnd"/>
          </w:p>
          <w:p w:rsidR="00F96ABE" w:rsidRPr="00776A67" w:rsidRDefault="00F96ABE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де,</w:t>
            </w:r>
          </w:p>
          <w:p w:rsidR="00F96ABE" w:rsidRPr="00776A67" w:rsidRDefault="00F96ABE" w:rsidP="00F9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Цфакт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фактична ринкова ціна за 1 кВт/год, що склалась у місяць поставки на енергетичн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ринках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розраховується щомісячно, відповідно до 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 наведена нижче:</w:t>
            </w:r>
          </w:p>
          <w:p w:rsidR="00F96ABE" w:rsidRPr="009F2AF2" w:rsidRDefault="00624452" w:rsidP="00F96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факт(група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рдд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рдд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вд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рдд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рдн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вд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нб</m:t>
                    </m:r>
                  </m:sub>
                </m:sSub>
              </m:oMath>
            </m:oMathPara>
          </w:p>
          <w:p w:rsidR="00F96ABE" w:rsidRPr="00776A67" w:rsidRDefault="00F96ABE" w:rsidP="00F96AB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де,</w:t>
            </w:r>
          </w:p>
          <w:p w:rsidR="00F96ABE" w:rsidRPr="00776A67" w:rsidRDefault="00F96ABE" w:rsidP="00F96ABE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Црдд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ціна, що склалась на ринку двосторонніх договорів в розрахунковому місяці;</w:t>
            </w:r>
          </w:p>
          <w:p w:rsidR="00F96ABE" w:rsidRPr="00776A67" w:rsidRDefault="00F96ABE" w:rsidP="00F96ABE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Црдн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ціна, що склалась на ринку «на добу на перед» в розрахунковому місяці;</w:t>
            </w:r>
          </w:p>
          <w:p w:rsidR="00F96ABE" w:rsidRDefault="00F96ABE" w:rsidP="00F96ABE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Цвд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ціна, що склалась на внутрішньодобовому ринку в розрахунковому місяці;</w:t>
            </w:r>
          </w:p>
          <w:p w:rsidR="00F96ABE" w:rsidRPr="00867C90" w:rsidRDefault="00F96ABE" w:rsidP="00F96ABE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>Wрдд</w:t>
            </w:r>
            <w:proofErr w:type="spellEnd"/>
            <w:r w:rsidRPr="00776A67">
              <w:rPr>
                <w:rFonts w:ascii="Times New Roman" w:hAnsi="Times New Roman" w:cs="Times New Roman"/>
                <w:sz w:val="24"/>
                <w:szCs w:val="24"/>
              </w:rPr>
              <w:t xml:space="preserve"> – обсяг електричної енергії куплений на ринку двосторонніх договорів в  розрахунковому місяці;</w:t>
            </w:r>
          </w:p>
          <w:p w:rsidR="00F96ABE" w:rsidRPr="00867C90" w:rsidRDefault="00F96ABE" w:rsidP="00F96ABE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>Wрдн</w:t>
            </w:r>
            <w:proofErr w:type="spellEnd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 xml:space="preserve"> – обсяг електричної енергії куплений на ринку «доба на перед» в  розрахунковому місяці;</w:t>
            </w:r>
          </w:p>
          <w:p w:rsidR="00F96ABE" w:rsidRPr="00867C90" w:rsidRDefault="00F96ABE" w:rsidP="00F96ABE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>Wвд</w:t>
            </w:r>
            <w:proofErr w:type="spellEnd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 xml:space="preserve"> – обсяг електричної енергії куплений на внутрішньодобовому ринку в розрахунковому місяці;</w:t>
            </w:r>
          </w:p>
          <w:p w:rsidR="00F96ABE" w:rsidRPr="00867C90" w:rsidRDefault="00F96ABE" w:rsidP="00F9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>Кнб</w:t>
            </w:r>
            <w:proofErr w:type="spellEnd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 xml:space="preserve"> – витрати постачальника на покриття небалансів в межах узгодженого гранично допустимого відхилення між фактичними та плановими обсягами електричної енергії визначаються за наступною </w:t>
            </w:r>
          </w:p>
          <w:p w:rsidR="00F96ABE" w:rsidRPr="00867C90" w:rsidRDefault="00F96ABE" w:rsidP="00F96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="009F2AF2" w:rsidRPr="0086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цею</w:t>
            </w:r>
            <w:proofErr w:type="spellEnd"/>
          </w:p>
          <w:p w:rsidR="00F96ABE" w:rsidRPr="00867C90" w:rsidRDefault="00F96ABE" w:rsidP="00F9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c"/>
              <w:tblpPr w:leftFromText="180" w:rightFromText="180" w:vertAnchor="text" w:horzAnchor="margin" w:tblpY="-238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276"/>
              <w:gridCol w:w="1276"/>
              <w:gridCol w:w="1275"/>
              <w:gridCol w:w="1276"/>
              <w:gridCol w:w="1276"/>
            </w:tblGrid>
            <w:tr w:rsidR="00F96ABE" w:rsidRPr="00867C90" w:rsidTr="00C31226">
              <w:trPr>
                <w:trHeight w:val="525"/>
              </w:trPr>
              <w:tc>
                <w:tcPr>
                  <w:tcW w:w="3539" w:type="dxa"/>
                </w:tcPr>
                <w:p w:rsidR="00F96ABE" w:rsidRPr="00867C90" w:rsidRDefault="00F96ABE" w:rsidP="00F96A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Межі граничного допустимого відхилення</w:t>
                  </w:r>
                </w:p>
              </w:tc>
              <w:tc>
                <w:tcPr>
                  <w:tcW w:w="1276" w:type="dxa"/>
                </w:tcPr>
                <w:p w:rsidR="00F96ABE" w:rsidRPr="00867C90" w:rsidRDefault="00F96ABE" w:rsidP="00F96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±3%</w:t>
                  </w:r>
                </w:p>
              </w:tc>
              <w:tc>
                <w:tcPr>
                  <w:tcW w:w="1276" w:type="dxa"/>
                </w:tcPr>
                <w:p w:rsidR="00F96ABE" w:rsidRPr="00867C90" w:rsidRDefault="00F96ABE" w:rsidP="00F96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±5%</w:t>
                  </w:r>
                </w:p>
              </w:tc>
              <w:tc>
                <w:tcPr>
                  <w:tcW w:w="1275" w:type="dxa"/>
                </w:tcPr>
                <w:p w:rsidR="00F96ABE" w:rsidRPr="00867C90" w:rsidRDefault="00F96ABE" w:rsidP="00F96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±10%</w:t>
                  </w:r>
                </w:p>
              </w:tc>
              <w:tc>
                <w:tcPr>
                  <w:tcW w:w="1276" w:type="dxa"/>
                </w:tcPr>
                <w:p w:rsidR="00F96ABE" w:rsidRPr="00867C90" w:rsidRDefault="00F96ABE" w:rsidP="00F96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±15%</w:t>
                  </w:r>
                </w:p>
              </w:tc>
              <w:tc>
                <w:tcPr>
                  <w:tcW w:w="1276" w:type="dxa"/>
                </w:tcPr>
                <w:p w:rsidR="00F96ABE" w:rsidRPr="00867C90" w:rsidRDefault="00F96ABE" w:rsidP="00F96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±20%</w:t>
                  </w:r>
                </w:p>
              </w:tc>
            </w:tr>
            <w:tr w:rsidR="00F96ABE" w:rsidRPr="00867C90" w:rsidTr="00C31226">
              <w:trPr>
                <w:trHeight w:val="525"/>
              </w:trPr>
              <w:tc>
                <w:tcPr>
                  <w:tcW w:w="3539" w:type="dxa"/>
                </w:tcPr>
                <w:p w:rsidR="00F96ABE" w:rsidRPr="00867C90" w:rsidRDefault="00F96ABE" w:rsidP="00F96A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Надбавка за покриття небалансів, грн./кВт*год</w:t>
                  </w:r>
                </w:p>
              </w:tc>
              <w:tc>
                <w:tcPr>
                  <w:tcW w:w="1276" w:type="dxa"/>
                </w:tcPr>
                <w:p w:rsidR="00F96ABE" w:rsidRPr="00867C90" w:rsidRDefault="00F96ABE" w:rsidP="00F96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0,013</w:t>
                  </w:r>
                </w:p>
              </w:tc>
              <w:tc>
                <w:tcPr>
                  <w:tcW w:w="1276" w:type="dxa"/>
                </w:tcPr>
                <w:p w:rsidR="00F96ABE" w:rsidRPr="00867C90" w:rsidRDefault="00F96ABE" w:rsidP="00F96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0,021</w:t>
                  </w:r>
                </w:p>
              </w:tc>
              <w:tc>
                <w:tcPr>
                  <w:tcW w:w="1275" w:type="dxa"/>
                </w:tcPr>
                <w:p w:rsidR="00F96ABE" w:rsidRPr="00867C90" w:rsidRDefault="00F96ABE" w:rsidP="00F96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0,042</w:t>
                  </w:r>
                </w:p>
              </w:tc>
              <w:tc>
                <w:tcPr>
                  <w:tcW w:w="1276" w:type="dxa"/>
                </w:tcPr>
                <w:p w:rsidR="00F96ABE" w:rsidRPr="00867C90" w:rsidRDefault="00F96ABE" w:rsidP="00F96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276" w:type="dxa"/>
                </w:tcPr>
                <w:p w:rsidR="00F96ABE" w:rsidRPr="00867C90" w:rsidRDefault="00F96ABE" w:rsidP="00F96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0,07</w:t>
                  </w:r>
                </w:p>
              </w:tc>
            </w:tr>
          </w:tbl>
          <w:p w:rsidR="006A64B3" w:rsidRPr="00867C90" w:rsidRDefault="006A64B3" w:rsidP="006A64B3">
            <w:pPr>
              <w:rPr>
                <w:rFonts w:ascii="Times New Roman" w:hAnsi="Times New Roman" w:cs="Times New Roman"/>
              </w:rPr>
            </w:pPr>
            <w:proofErr w:type="spellStart"/>
            <w:r w:rsidRPr="0086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Тпос</w:t>
            </w:r>
            <w:proofErr w:type="spellEnd"/>
            <w:r w:rsidRPr="0086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90">
              <w:rPr>
                <w:rFonts w:ascii="Times New Roman" w:hAnsi="Times New Roman" w:cs="Times New Roman"/>
              </w:rPr>
              <w:t>–  тариф постачальника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5"/>
              <w:gridCol w:w="5186"/>
            </w:tblGrid>
            <w:tr w:rsidR="006A64B3" w:rsidRPr="00867C90" w:rsidTr="009E0C42">
              <w:tc>
                <w:tcPr>
                  <w:tcW w:w="10371" w:type="dxa"/>
                  <w:gridSpan w:val="2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 постачальника</w:t>
                  </w:r>
                </w:p>
              </w:tc>
            </w:tr>
            <w:tr w:rsidR="006A64B3" w:rsidRPr="00867C90" w:rsidTr="009E0C42">
              <w:tc>
                <w:tcPr>
                  <w:tcW w:w="5185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Обсяг місячного споживання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Тариф, % за кВт*год, без ПДВ</w:t>
                  </w:r>
                </w:p>
              </w:tc>
            </w:tr>
            <w:tr w:rsidR="006A64B3" w:rsidRPr="00867C90" w:rsidTr="009E0C42">
              <w:tc>
                <w:tcPr>
                  <w:tcW w:w="5185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тис. кВт*год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A64B3" w:rsidRPr="00867C90" w:rsidTr="009E0C42">
              <w:tc>
                <w:tcPr>
                  <w:tcW w:w="5185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100 тис. кВт*год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Pr="00867C90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A64B3" w:rsidTr="009E0C42">
              <w:tc>
                <w:tcPr>
                  <w:tcW w:w="5185" w:type="dxa"/>
                  <w:vAlign w:val="center"/>
                </w:tcPr>
                <w:p w:rsidR="006A64B3" w:rsidRPr="006C1775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200 тис. кВт*год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Pr="006C1775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A64B3" w:rsidTr="009E0C42">
              <w:tc>
                <w:tcPr>
                  <w:tcW w:w="5185" w:type="dxa"/>
                  <w:vAlign w:val="center"/>
                </w:tcPr>
                <w:p w:rsidR="006A64B3" w:rsidRPr="006C1775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500 тис. кВт*год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Pr="006C1775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A64B3" w:rsidTr="009E0C42">
              <w:tc>
                <w:tcPr>
                  <w:tcW w:w="5185" w:type="dxa"/>
                  <w:vAlign w:val="center"/>
                </w:tcPr>
                <w:p w:rsidR="006A64B3" w:rsidRPr="006C1775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Понад</w:t>
                  </w:r>
                  <w:r w:rsidRPr="006C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500 тис. кВт*год</w:t>
                  </w:r>
                </w:p>
              </w:tc>
              <w:tc>
                <w:tcPr>
                  <w:tcW w:w="5186" w:type="dxa"/>
                  <w:vAlign w:val="center"/>
                </w:tcPr>
                <w:p w:rsidR="006A64B3" w:rsidRDefault="006A64B3" w:rsidP="006A64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домовленістю</w:t>
                  </w:r>
                </w:p>
              </w:tc>
            </w:tr>
          </w:tbl>
          <w:p w:rsidR="00531D8C" w:rsidRPr="006A64B3" w:rsidRDefault="006A64B3" w:rsidP="0053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Тпер</w:t>
            </w:r>
            <w:proofErr w:type="spellEnd"/>
            <w:r w:rsidRPr="00DD2D3F">
              <w:rPr>
                <w:rFonts w:ascii="Times New Roman" w:hAnsi="Times New Roman" w:cs="Times New Roman"/>
                <w:sz w:val="24"/>
                <w:szCs w:val="24"/>
              </w:rPr>
              <w:t xml:space="preserve"> – тариф на передачу НЕК «ДП Укренерго» в відповідному місяці поставки.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 на якій пропонується відповідна комерційна пропозиція</w:t>
            </w:r>
          </w:p>
        </w:tc>
        <w:tc>
          <w:tcPr>
            <w:tcW w:w="10597" w:type="dxa"/>
            <w:vAlign w:val="center"/>
          </w:tcPr>
          <w:p w:rsidR="008924F1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jdgxs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Оператора системи розподілу (далі - ОСР), який діє на підставі ліцензії з розподілу електричної енергії на відповідній території, де розташований </w:t>
            </w:r>
            <w:r w:rsidRPr="0034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 оплати електричної енергії</w:t>
            </w:r>
          </w:p>
        </w:tc>
        <w:tc>
          <w:tcPr>
            <w:tcW w:w="10597" w:type="dxa"/>
            <w:vAlign w:val="center"/>
          </w:tcPr>
          <w:p w:rsidR="008924F1" w:rsidRPr="00260A35" w:rsidRDefault="00AC4548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відсоткова оплата до 24 числа місяця, що передує місяцю поставки, у разі необхідності графік оплати оговорюється за домовленістю сторін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(строк) виставлення рахунку за електричну </w:t>
            </w: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енергію та термін (строк) його оплати</w:t>
            </w:r>
          </w:p>
        </w:tc>
        <w:tc>
          <w:tcPr>
            <w:tcW w:w="10597" w:type="dxa"/>
            <w:vAlign w:val="center"/>
          </w:tcPr>
          <w:p w:rsidR="008924F1" w:rsidRDefault="008924F1" w:rsidP="00892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Рахунок за електричну енергію виставляється до 20 числа місяця, що передує розрахунковому періоду. Оплата згідно п.3 Комерційної пропозиції.</w:t>
            </w:r>
          </w:p>
          <w:p w:rsidR="008924F1" w:rsidRDefault="008924F1" w:rsidP="00892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Всі документи, що виставляються Постачальником </w:t>
            </w:r>
            <w:r w:rsidRPr="0034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мають  містити чітку інформацію про суму платежу, порядок та строки оплати, що погоджені Сторонами цього Договору, а також інформацію щодо адреси, телефонів, офіційних веб-сайтів для отримання інформації про подання звернень, скарг та претензій щодо якості постачання електричної енергії та надання повідомлень про загрозу електробезпеки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планового обсягу споживання електричної енергії </w:t>
            </w: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та коригування замовлених обсягів</w:t>
            </w:r>
          </w:p>
        </w:tc>
        <w:tc>
          <w:tcPr>
            <w:tcW w:w="10597" w:type="dxa"/>
            <w:vAlign w:val="center"/>
          </w:tcPr>
          <w:p w:rsidR="008924F1" w:rsidRDefault="00F96ABE" w:rsidP="00892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924F1" w:rsidRPr="0035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  <w:r w:rsidR="0089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групи «а»:</w:t>
            </w:r>
          </w:p>
          <w:p w:rsidR="008924F1" w:rsidRPr="00147156" w:rsidRDefault="00F96ABE" w:rsidP="00F96ABE">
            <w:pPr>
              <w:pStyle w:val="a7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8924F1" w:rsidRPr="00BD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  <w:r w:rsidR="0089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8924F1" w:rsidRPr="0014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адає заявку на наступний місць до 10 числа місяця, що передує місяцю поставки – </w:t>
            </w:r>
            <w:r w:rsidR="008924F1" w:rsidRPr="00CE08C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споживання в</w:t>
            </w:r>
            <w:r w:rsidR="0089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кВт*год</w:t>
            </w:r>
            <w:r w:rsidR="008924F1" w:rsidRPr="0014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924F1" w:rsidRPr="00147156" w:rsidRDefault="00F96ABE" w:rsidP="00F96ABE">
            <w:pPr>
              <w:pStyle w:val="a7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8924F1" w:rsidRPr="0034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  <w:r w:rsidR="008924F1" w:rsidRPr="0014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 числа місяця, що передує місяцю поставки надає </w:t>
            </w:r>
            <w:r w:rsidR="008924F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уточнену</w:t>
            </w:r>
            <w:r w:rsidR="008924F1" w:rsidRPr="007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погодинну</w:t>
            </w:r>
            <w:r w:rsidR="008924F1" w:rsidRPr="0014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заявку згідно </w:t>
            </w:r>
            <w:r w:rsidR="008924F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Таблиці 1</w:t>
            </w:r>
            <w:r w:rsidR="008924F1" w:rsidRPr="0014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Комерційної пропозиції;</w:t>
            </w:r>
          </w:p>
          <w:p w:rsidR="008924F1" w:rsidRDefault="00F96ABE" w:rsidP="00F96ABE">
            <w:pPr>
              <w:pStyle w:val="a7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8924F1" w:rsidRPr="0034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  <w:r w:rsidR="008924F1" w:rsidRPr="0014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право коригувати погодинні обсяги споживання електричної енергії в місяці поставки в разі необхідності до 08-00 години дня, що передує дню споживання</w:t>
            </w:r>
          </w:p>
          <w:p w:rsidR="00F96ABE" w:rsidRDefault="00F96ABE" w:rsidP="00F96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5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групи «б»:</w:t>
            </w:r>
          </w:p>
          <w:p w:rsidR="00F96ABE" w:rsidRPr="00F96ABE" w:rsidRDefault="00F96ABE" w:rsidP="00F96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*Споживач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надає заявку на наступний місць до 10 числа місяця, що передує місяцю поставки – загальний обсяг споживання в кВт*год. </w:t>
            </w:r>
          </w:p>
          <w:p w:rsidR="00F96ABE" w:rsidRPr="00147156" w:rsidRDefault="00F96ABE" w:rsidP="00F96ABE">
            <w:pPr>
              <w:pStyle w:val="a7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34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  <w:r w:rsidRPr="0014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 числа місяця, що передує місяцю поставки надає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уточнену</w:t>
            </w:r>
            <w:r w:rsidRPr="0014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заявку згідно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Таблиці 1</w:t>
            </w:r>
            <w:r w:rsidRPr="0014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Комерційної пропозиції;</w:t>
            </w:r>
          </w:p>
          <w:p w:rsidR="00F96ABE" w:rsidRPr="00CE08CA" w:rsidRDefault="00F96ABE" w:rsidP="00F96ABE">
            <w:pPr>
              <w:pStyle w:val="a7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34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  <w:r w:rsidRPr="0014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право коригувати обсяги споживання електричної енергії в місяці поставки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14-го числа включно один раз на місяць(група «б») – оплативши 100%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дозаявлений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обсяг.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Pr="00046128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0461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924F1" w:rsidRPr="00046128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2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Фактичний обсягу спожитої електричної енергії</w:t>
            </w:r>
          </w:p>
        </w:tc>
        <w:tc>
          <w:tcPr>
            <w:tcW w:w="10597" w:type="dxa"/>
            <w:vAlign w:val="center"/>
          </w:tcPr>
          <w:p w:rsidR="008924F1" w:rsidRPr="00046128" w:rsidRDefault="008924F1" w:rsidP="00892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Фактичний обсяг спожитої електричної енергії визначається на основі Звіту, що подає </w:t>
            </w:r>
            <w:r w:rsidRPr="0034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  <w:r w:rsidRPr="000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ОСР за розрахунковий період по Договору надання послуг з розподілу електричної енергії з відповідним ОСР та надає </w:t>
            </w:r>
            <w:proofErr w:type="spellStart"/>
            <w:r w:rsidRPr="0004612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Електропостачальнику</w:t>
            </w:r>
            <w:proofErr w:type="spellEnd"/>
            <w:r w:rsidRPr="000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копію цього Звіту в строк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пізніше перших </w:t>
            </w:r>
            <w:r w:rsidRPr="00046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6128">
              <w:rPr>
                <w:rFonts w:ascii="Times New Roman" w:eastAsia="Times New Roman" w:hAnsi="Times New Roman" w:cs="Times New Roman"/>
                <w:sz w:val="24"/>
                <w:szCs w:val="24"/>
              </w:rPr>
              <w:t>(трьох) робочих днів місяця, наступного за розрахунковим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Pr="00046128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8" w:type="dxa"/>
            <w:vAlign w:val="center"/>
          </w:tcPr>
          <w:p w:rsidR="008924F1" w:rsidRPr="00046128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Актів купівлі-продажу електричної енергії за місяць споживання</w:t>
            </w:r>
          </w:p>
        </w:tc>
        <w:tc>
          <w:tcPr>
            <w:tcW w:w="10597" w:type="dxa"/>
            <w:vAlign w:val="center"/>
          </w:tcPr>
          <w:p w:rsidR="008924F1" w:rsidRPr="0034010E" w:rsidRDefault="008924F1" w:rsidP="00892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Постачальник зобов’язується до 12 (дванадцятого) числа включно, місяця наступного за розрахунковим, направити на електронну пошту </w:t>
            </w:r>
            <w:r w:rsidRPr="0034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Споживача</w:t>
            </w:r>
            <w:r w:rsidRPr="00340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купівлі-продажу електричної енергії за розрахунковий період. Оригінали підписаних Постачальником Актів купівлі-продажу електричної енергії та інших документів за розрахунковий період (у двох примірниках) надсилаються в сканованому вигляді на електронну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пошту</w:t>
            </w:r>
            <w:r w:rsidRPr="00340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подальшим надсиланням засобами поштового зв’язку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способу оплати послуг з розподілу електричної енергії</w:t>
            </w:r>
          </w:p>
        </w:tc>
        <w:tc>
          <w:tcPr>
            <w:tcW w:w="10597" w:type="dxa"/>
            <w:vAlign w:val="center"/>
          </w:tcPr>
          <w:p w:rsidR="008924F1" w:rsidRPr="0091618B" w:rsidRDefault="008924F1" w:rsidP="008924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Споживач</w:t>
            </w:r>
            <w:r w:rsidRPr="00071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здійснює оплату послуг з розподілу(передачі) </w:t>
            </w:r>
            <w:r w:rsidR="00916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самостійно.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пені за</w:t>
            </w: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порушення строку оплати або штраф</w:t>
            </w:r>
          </w:p>
        </w:tc>
        <w:tc>
          <w:tcPr>
            <w:tcW w:w="10597" w:type="dxa"/>
            <w:vAlign w:val="center"/>
          </w:tcPr>
          <w:p w:rsidR="008924F1" w:rsidRDefault="008924F1" w:rsidP="00892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нараховується пеня у розмірі 0,2 % від суми простроченого платежу (але не більше подвійної облікової ставки НБУ, яка діє на день прострочення) за кожен день прострочення. Пеня нараховується відповідно до чинного законодавства України.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Зобов’язання з компенсації споживачу за недотримання </w:t>
            </w:r>
            <w:proofErr w:type="spellStart"/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електропостачальником</w:t>
            </w:r>
            <w:proofErr w:type="spellEnd"/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комерційної якості надання послуг</w:t>
            </w:r>
          </w:p>
        </w:tc>
        <w:tc>
          <w:tcPr>
            <w:tcW w:w="10597" w:type="dxa"/>
            <w:vAlign w:val="center"/>
          </w:tcPr>
          <w:p w:rsidR="008924F1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Зобов’язання з компенсації </w:t>
            </w:r>
            <w:r w:rsidRPr="0034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недотримання Постачальником комерційної якості надання послуг встановлюються у відповідності з чинним законодавством.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за дострокове припинення дії договору</w:t>
            </w:r>
          </w:p>
        </w:tc>
        <w:tc>
          <w:tcPr>
            <w:tcW w:w="10597" w:type="dxa"/>
            <w:vAlign w:val="center"/>
          </w:tcPr>
          <w:p w:rsidR="008924F1" w:rsidRDefault="004E09AF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повідомлення про зміну постачальника в строк, який менше ніж 21 день до дати зміни постачальника, </w:t>
            </w:r>
            <w:r w:rsidR="009A131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відсутній</w:t>
            </w:r>
            <w:r w:rsidRPr="004E09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дії договору та умови пролонгації</w:t>
            </w:r>
          </w:p>
        </w:tc>
        <w:tc>
          <w:tcPr>
            <w:tcW w:w="10597" w:type="dxa"/>
            <w:vAlign w:val="center"/>
          </w:tcPr>
          <w:p w:rsidR="008924F1" w:rsidRDefault="00333144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діючим між нашими Сторонами договору</w:t>
            </w:r>
            <w:r w:rsidR="008924F1">
              <w:rPr>
                <w:rFonts w:ascii="Times New Roman" w:eastAsia="Times New Roman" w:hAnsi="Times New Roman" w:cs="Times New Roman"/>
                <w:sz w:val="24"/>
                <w:szCs w:val="24"/>
              </w:rPr>
              <w:t>. Договір вважається автоматично продовженим на один рік, якщо жодна із сторін не направила другій стороні письмове повідомлення про розірвання договору за 35 днів до дня його закінчення.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* Урахування пільг, субсидій</w:t>
            </w:r>
          </w:p>
        </w:tc>
        <w:tc>
          <w:tcPr>
            <w:tcW w:w="10597" w:type="dxa"/>
            <w:vAlign w:val="center"/>
          </w:tcPr>
          <w:p w:rsidR="008924F1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постачання захищеним споживачам</w:t>
            </w:r>
          </w:p>
        </w:tc>
        <w:tc>
          <w:tcPr>
            <w:tcW w:w="10597" w:type="dxa"/>
            <w:vAlign w:val="center"/>
          </w:tcPr>
          <w:p w:rsidR="008924F1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</w:p>
        </w:tc>
      </w:tr>
      <w:tr w:rsidR="008924F1">
        <w:trPr>
          <w:jc w:val="center"/>
        </w:trPr>
        <w:tc>
          <w:tcPr>
            <w:tcW w:w="846" w:type="dxa"/>
            <w:vAlign w:val="center"/>
          </w:tcPr>
          <w:p w:rsidR="008924F1" w:rsidRDefault="008924F1" w:rsidP="00892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118" w:type="dxa"/>
            <w:vAlign w:val="center"/>
          </w:tcPr>
          <w:p w:rsidR="008924F1" w:rsidRPr="00567A17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17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умови</w:t>
            </w:r>
          </w:p>
        </w:tc>
        <w:tc>
          <w:tcPr>
            <w:tcW w:w="10597" w:type="dxa"/>
            <w:vAlign w:val="center"/>
          </w:tcPr>
          <w:p w:rsidR="008924F1" w:rsidRDefault="008924F1" w:rsidP="0089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Комерційна пропозиціє не може бути застосована до побутових споживачів, що використовують електричну енергію виключно на власні побутові потреби, у тому числі для освітлення, живлення електроприладів тощо, що не включає професійну або господарську діяльність.</w:t>
            </w:r>
          </w:p>
        </w:tc>
      </w:tr>
    </w:tbl>
    <w:p w:rsidR="009F2AF2" w:rsidRPr="00867C90" w:rsidRDefault="009F2AF2" w:rsidP="0056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03F" w:rsidRPr="00867C90" w:rsidRDefault="00523E6E" w:rsidP="0086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90">
        <w:rPr>
          <w:rFonts w:ascii="Times New Roman" w:eastAsia="Times New Roman" w:hAnsi="Times New Roman" w:cs="Times New Roman"/>
          <w:sz w:val="24"/>
          <w:szCs w:val="24"/>
        </w:rPr>
        <w:t>2. Договір про постачання електричної енергії споживачу (приєднання) складається з Акцепту (Заяви-приєднання)</w:t>
      </w:r>
      <w:r w:rsidR="00867C90" w:rsidRPr="00867C90">
        <w:rPr>
          <w:rFonts w:ascii="Times New Roman" w:eastAsia="Times New Roman" w:hAnsi="Times New Roman" w:cs="Times New Roman"/>
          <w:sz w:val="24"/>
          <w:szCs w:val="24"/>
        </w:rPr>
        <w:t xml:space="preserve">, Прогнозованого обсягу споживання електричної </w:t>
      </w:r>
      <w:r w:rsidR="00867C90" w:rsidRPr="00867C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енергії</w:t>
      </w:r>
      <w:r w:rsidR="00867C90" w:rsidRPr="0086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C9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867C90">
        <w:rPr>
          <w:rFonts w:ascii="Times New Roman" w:eastAsia="Times New Roman" w:hAnsi="Times New Roman" w:cs="Times New Roman"/>
          <w:sz w:val="24"/>
          <w:szCs w:val="24"/>
        </w:rPr>
        <w:t>Комерційної пропозиції</w:t>
      </w:r>
      <w:r w:rsidR="00867C90" w:rsidRPr="0086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C90">
        <w:rPr>
          <w:rFonts w:ascii="Times New Roman" w:eastAsia="Times New Roman" w:hAnsi="Times New Roman" w:cs="Times New Roman"/>
          <w:sz w:val="24"/>
          <w:szCs w:val="24"/>
        </w:rPr>
        <w:t>з обраним Споживачем тарифом.</w:t>
      </w:r>
    </w:p>
    <w:p w:rsidR="003D503F" w:rsidRPr="00867C90" w:rsidRDefault="00523E6E" w:rsidP="0056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90">
        <w:rPr>
          <w:rFonts w:ascii="Times New Roman" w:eastAsia="Times New Roman" w:hAnsi="Times New Roman" w:cs="Times New Roman"/>
          <w:sz w:val="24"/>
          <w:szCs w:val="24"/>
        </w:rPr>
        <w:t>3. Жодна із Сторін не вправі передавати свої права за даним Договором третій Стороні без попередньої письмової згоди на</w:t>
      </w:r>
    </w:p>
    <w:p w:rsidR="0016743A" w:rsidRPr="00867C90" w:rsidRDefault="00523E6E" w:rsidP="0056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90">
        <w:rPr>
          <w:rFonts w:ascii="Times New Roman" w:eastAsia="Times New Roman" w:hAnsi="Times New Roman" w:cs="Times New Roman"/>
          <w:sz w:val="24"/>
          <w:szCs w:val="24"/>
        </w:rPr>
        <w:t>це іншої Сторони.</w:t>
      </w:r>
    </w:p>
    <w:p w:rsidR="003D503F" w:rsidRPr="00867C90" w:rsidRDefault="00523E6E" w:rsidP="0056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90">
        <w:rPr>
          <w:rFonts w:ascii="Times New Roman" w:eastAsia="Times New Roman" w:hAnsi="Times New Roman" w:cs="Times New Roman"/>
          <w:sz w:val="24"/>
          <w:szCs w:val="24"/>
        </w:rPr>
        <w:t>4. Реєстрація податкових накладних та розрахунків коригувань здійснюється у Єдиному реєстрі податкових накладних</w:t>
      </w:r>
    </w:p>
    <w:p w:rsidR="003D503F" w:rsidRPr="00867C90" w:rsidRDefault="00523E6E" w:rsidP="0056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90">
        <w:rPr>
          <w:rFonts w:ascii="Times New Roman" w:eastAsia="Times New Roman" w:hAnsi="Times New Roman" w:cs="Times New Roman"/>
          <w:sz w:val="24"/>
          <w:szCs w:val="24"/>
        </w:rPr>
        <w:t>відповідно до чинного законодавства України.</w:t>
      </w:r>
    </w:p>
    <w:p w:rsidR="00624452" w:rsidRPr="00942000" w:rsidRDefault="00624452" w:rsidP="0062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000">
        <w:rPr>
          <w:rFonts w:ascii="Times New Roman" w:eastAsia="Times New Roman" w:hAnsi="Times New Roman" w:cs="Times New Roman"/>
          <w:sz w:val="24"/>
          <w:szCs w:val="24"/>
        </w:rPr>
        <w:t>5. Здійснювати платежі за електричну енергію виключно на поточний рахунок із спеціальним режимом використання ДП «ПРОФІТ ХАБ», за наступними банківськими платіжними реквізитами:</w:t>
      </w:r>
    </w:p>
    <w:p w:rsidR="00624452" w:rsidRPr="00942000" w:rsidRDefault="00624452" w:rsidP="0062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п/р зі спеціальним режимом використання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UA</w:t>
      </w:r>
      <w:r w:rsidRPr="00522F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3030046500000</w:t>
      </w:r>
      <w:r w:rsidRPr="00B125A8">
        <w:rPr>
          <w:rFonts w:ascii="Times New Roman" w:eastAsia="Times New Roman" w:hAnsi="Times New Roman" w:cs="Times New Roman"/>
          <w:b/>
          <w:bCs/>
          <w:sz w:val="24"/>
          <w:szCs w:val="24"/>
        </w:rPr>
        <w:t>26033300207353</w:t>
      </w:r>
    </w:p>
    <w:p w:rsidR="00624452" w:rsidRPr="00942000" w:rsidRDefault="00624452" w:rsidP="0062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 «Ощадбанк м. Київ </w:t>
      </w:r>
    </w:p>
    <w:p w:rsidR="00624452" w:rsidRPr="00942000" w:rsidRDefault="00624452" w:rsidP="0062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банку 300465 </w:t>
      </w:r>
    </w:p>
    <w:p w:rsidR="00624452" w:rsidRPr="00942000" w:rsidRDefault="00624452" w:rsidP="0062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000">
        <w:rPr>
          <w:rFonts w:ascii="Times New Roman" w:eastAsia="Times New Roman" w:hAnsi="Times New Roman" w:cs="Times New Roman"/>
          <w:b/>
          <w:bCs/>
          <w:sz w:val="24"/>
          <w:szCs w:val="24"/>
        </w:rPr>
        <w:t>Код ЄДРПОУ 41697846</w:t>
      </w:r>
      <w:r w:rsidRPr="00942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8A1" w:rsidRDefault="008468A1" w:rsidP="0084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:rsidR="008468A1" w:rsidRDefault="008468A1" w:rsidP="0084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A1" w:rsidRPr="00E72282" w:rsidRDefault="008468A1" w:rsidP="008468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03F" w:rsidRPr="00E72282" w:rsidRDefault="0016743A">
      <w:pPr>
        <w:rPr>
          <w:rFonts w:ascii="Times New Roman" w:eastAsia="Times New Roman" w:hAnsi="Times New Roman" w:cs="Times New Roman"/>
        </w:rPr>
      </w:pPr>
      <w:r w:rsidRPr="00E72282">
        <w:rPr>
          <w:rFonts w:ascii="Times New Roman" w:eastAsia="Times New Roman" w:hAnsi="Times New Roman" w:cs="Times New Roman"/>
          <w:b/>
        </w:rPr>
        <w:t>Постачальник</w:t>
      </w:r>
      <w:r w:rsidR="00523E6E" w:rsidRPr="00E72282">
        <w:rPr>
          <w:rFonts w:ascii="Times New Roman" w:eastAsia="Times New Roman" w:hAnsi="Times New Roman" w:cs="Times New Roman"/>
          <w:b/>
        </w:rPr>
        <w:t>:</w:t>
      </w:r>
      <w:r w:rsidR="00523E6E" w:rsidRPr="00E72282">
        <w:rPr>
          <w:rFonts w:ascii="Times New Roman" w:eastAsia="Times New Roman" w:hAnsi="Times New Roman" w:cs="Times New Roman"/>
        </w:rPr>
        <w:t xml:space="preserve"> </w:t>
      </w:r>
      <w:r w:rsidRPr="00E72282">
        <w:rPr>
          <w:rFonts w:ascii="Times New Roman" w:eastAsia="Times New Roman" w:hAnsi="Times New Roman" w:cs="Times New Roman"/>
        </w:rPr>
        <w:t xml:space="preserve">   Іванов К.В.</w:t>
      </w:r>
      <w:r w:rsidR="00E72282">
        <w:rPr>
          <w:rFonts w:ascii="Times New Roman" w:eastAsia="Times New Roman" w:hAnsi="Times New Roman" w:cs="Times New Roman"/>
        </w:rPr>
        <w:tab/>
      </w:r>
      <w:r w:rsidR="00E72282" w:rsidRPr="00BA59A7">
        <w:rPr>
          <w:rFonts w:ascii="Times New Roman" w:eastAsia="Times New Roman" w:hAnsi="Times New Roman" w:cs="Times New Roman"/>
          <w:lang w:val="ru-RU"/>
        </w:rPr>
        <w:t xml:space="preserve">         </w:t>
      </w:r>
      <w:r w:rsidR="00523E6E" w:rsidRPr="00E72282">
        <w:rPr>
          <w:rFonts w:ascii="Times New Roman" w:eastAsia="Times New Roman" w:hAnsi="Times New Roman" w:cs="Times New Roman"/>
        </w:rPr>
        <w:t>________________</w:t>
      </w:r>
      <w:r w:rsidR="00523E6E" w:rsidRPr="00E72282">
        <w:rPr>
          <w:rFonts w:ascii="Times New Roman" w:eastAsia="Times New Roman" w:hAnsi="Times New Roman" w:cs="Times New Roman"/>
        </w:rPr>
        <w:tab/>
        <w:t>_________________</w:t>
      </w:r>
    </w:p>
    <w:p w:rsidR="003D503F" w:rsidRPr="00E72282" w:rsidRDefault="0016743A" w:rsidP="0016743A">
      <w:pPr>
        <w:ind w:left="1452"/>
        <w:rPr>
          <w:rFonts w:ascii="Times New Roman" w:eastAsia="Times New Roman" w:hAnsi="Times New Roman" w:cs="Times New Roman"/>
          <w:sz w:val="16"/>
          <w:szCs w:val="16"/>
        </w:rPr>
      </w:pPr>
      <w:r w:rsidRPr="00E72282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523E6E" w:rsidRPr="00E72282">
        <w:rPr>
          <w:rFonts w:ascii="Times New Roman" w:eastAsia="Times New Roman" w:hAnsi="Times New Roman" w:cs="Times New Roman"/>
          <w:sz w:val="16"/>
          <w:szCs w:val="16"/>
        </w:rPr>
        <w:t xml:space="preserve">       (ПІБ)</w:t>
      </w:r>
      <w:r w:rsidR="00523E6E" w:rsidRPr="00E72282">
        <w:rPr>
          <w:rFonts w:ascii="Times New Roman" w:eastAsia="Times New Roman" w:hAnsi="Times New Roman" w:cs="Times New Roman"/>
          <w:sz w:val="16"/>
          <w:szCs w:val="16"/>
        </w:rPr>
        <w:tab/>
      </w:r>
      <w:r w:rsidR="00523E6E" w:rsidRPr="00E7228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(підпис)</w:t>
      </w:r>
      <w:r w:rsidR="00523E6E" w:rsidRPr="00E72282">
        <w:rPr>
          <w:rFonts w:ascii="Times New Roman" w:eastAsia="Times New Roman" w:hAnsi="Times New Roman" w:cs="Times New Roman"/>
          <w:sz w:val="16"/>
          <w:szCs w:val="16"/>
        </w:rPr>
        <w:tab/>
      </w:r>
      <w:r w:rsidR="00523E6E" w:rsidRPr="00E7228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(дата)</w:t>
      </w:r>
    </w:p>
    <w:p w:rsidR="00E72282" w:rsidRDefault="0016743A" w:rsidP="00E72282">
      <w:pPr>
        <w:rPr>
          <w:rFonts w:ascii="Times New Roman" w:eastAsia="Times New Roman" w:hAnsi="Times New Roman" w:cs="Times New Roman"/>
        </w:rPr>
      </w:pPr>
      <w:r w:rsidRPr="00E72282">
        <w:rPr>
          <w:rFonts w:ascii="Times New Roman" w:eastAsia="Times New Roman" w:hAnsi="Times New Roman" w:cs="Times New Roman"/>
          <w:b/>
        </w:rPr>
        <w:t>Споживач:</w:t>
      </w:r>
      <w:r w:rsidRPr="00E72282">
        <w:rPr>
          <w:rFonts w:ascii="Times New Roman" w:eastAsia="Times New Roman" w:hAnsi="Times New Roman" w:cs="Times New Roman"/>
        </w:rPr>
        <w:t xml:space="preserve"> ________________</w:t>
      </w:r>
      <w:r w:rsidRPr="00E72282">
        <w:rPr>
          <w:rFonts w:ascii="Times New Roman" w:eastAsia="Times New Roman" w:hAnsi="Times New Roman" w:cs="Times New Roman"/>
        </w:rPr>
        <w:tab/>
        <w:t>________________</w:t>
      </w:r>
      <w:r w:rsidRPr="00E72282">
        <w:rPr>
          <w:rFonts w:ascii="Times New Roman" w:eastAsia="Times New Roman" w:hAnsi="Times New Roman" w:cs="Times New Roman"/>
        </w:rPr>
        <w:tab/>
        <w:t xml:space="preserve"> ________________</w:t>
      </w:r>
    </w:p>
    <w:p w:rsidR="0016743A" w:rsidRPr="00E72282" w:rsidRDefault="0016743A" w:rsidP="00E72282">
      <w:pPr>
        <w:rPr>
          <w:rFonts w:ascii="Times New Roman" w:eastAsia="Times New Roman" w:hAnsi="Times New Roman" w:cs="Times New Roman"/>
        </w:rPr>
      </w:pPr>
      <w:r w:rsidRPr="00E72282">
        <w:rPr>
          <w:rFonts w:ascii="Times New Roman" w:eastAsia="Times New Roman" w:hAnsi="Times New Roman" w:cs="Times New Roman"/>
          <w:sz w:val="16"/>
          <w:szCs w:val="16"/>
        </w:rPr>
        <w:t xml:space="preserve">     (ПІБ)</w:t>
      </w:r>
      <w:r w:rsidRPr="00E72282">
        <w:rPr>
          <w:rFonts w:ascii="Times New Roman" w:eastAsia="Times New Roman" w:hAnsi="Times New Roman" w:cs="Times New Roman"/>
          <w:sz w:val="16"/>
          <w:szCs w:val="16"/>
        </w:rPr>
        <w:tab/>
      </w:r>
      <w:r w:rsidRPr="00E7228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(підпис)</w:t>
      </w:r>
      <w:r w:rsidRPr="00E72282">
        <w:rPr>
          <w:rFonts w:ascii="Times New Roman" w:eastAsia="Times New Roman" w:hAnsi="Times New Roman" w:cs="Times New Roman"/>
          <w:sz w:val="16"/>
          <w:szCs w:val="16"/>
        </w:rPr>
        <w:tab/>
      </w:r>
      <w:r w:rsidRPr="00E7228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(дата)</w:t>
      </w:r>
    </w:p>
    <w:p w:rsidR="0016743A" w:rsidRDefault="0016743A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16743A" w:rsidSect="00567A17">
      <w:pgSz w:w="16840" w:h="11907" w:orient="landscape" w:code="9"/>
      <w:pgMar w:top="709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65F"/>
    <w:multiLevelType w:val="hybridMultilevel"/>
    <w:tmpl w:val="09068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B23"/>
    <w:multiLevelType w:val="hybridMultilevel"/>
    <w:tmpl w:val="3ED60C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05DA"/>
    <w:multiLevelType w:val="hybridMultilevel"/>
    <w:tmpl w:val="F49A4EE2"/>
    <w:lvl w:ilvl="0" w:tplc="B246B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7D25"/>
    <w:multiLevelType w:val="hybridMultilevel"/>
    <w:tmpl w:val="01266A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7D4E"/>
    <w:multiLevelType w:val="hybridMultilevel"/>
    <w:tmpl w:val="A8A0A972"/>
    <w:lvl w:ilvl="0" w:tplc="28AC984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1AC6878"/>
    <w:multiLevelType w:val="hybridMultilevel"/>
    <w:tmpl w:val="3ED60C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F6BD8"/>
    <w:multiLevelType w:val="hybridMultilevel"/>
    <w:tmpl w:val="4008E1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1801"/>
    <w:multiLevelType w:val="hybridMultilevel"/>
    <w:tmpl w:val="2A6E140A"/>
    <w:lvl w:ilvl="0" w:tplc="28AC98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3F"/>
    <w:rsid w:val="00020A2B"/>
    <w:rsid w:val="00046128"/>
    <w:rsid w:val="000621D9"/>
    <w:rsid w:val="0007181E"/>
    <w:rsid w:val="000774CF"/>
    <w:rsid w:val="000C0547"/>
    <w:rsid w:val="000D3992"/>
    <w:rsid w:val="00133982"/>
    <w:rsid w:val="00147156"/>
    <w:rsid w:val="0016743A"/>
    <w:rsid w:val="001853D0"/>
    <w:rsid w:val="001D4DEF"/>
    <w:rsid w:val="001F7DD4"/>
    <w:rsid w:val="00225578"/>
    <w:rsid w:val="00260A35"/>
    <w:rsid w:val="002E1B29"/>
    <w:rsid w:val="00313349"/>
    <w:rsid w:val="00330C33"/>
    <w:rsid w:val="00333144"/>
    <w:rsid w:val="00350B2E"/>
    <w:rsid w:val="00370CC7"/>
    <w:rsid w:val="003B6B78"/>
    <w:rsid w:val="003D503F"/>
    <w:rsid w:val="004024A8"/>
    <w:rsid w:val="004057ED"/>
    <w:rsid w:val="004509F1"/>
    <w:rsid w:val="004A7D28"/>
    <w:rsid w:val="004E09AF"/>
    <w:rsid w:val="00523E6E"/>
    <w:rsid w:val="00531D8C"/>
    <w:rsid w:val="0055063D"/>
    <w:rsid w:val="00567A17"/>
    <w:rsid w:val="005E58DA"/>
    <w:rsid w:val="005F0294"/>
    <w:rsid w:val="00616D92"/>
    <w:rsid w:val="00624452"/>
    <w:rsid w:val="00684795"/>
    <w:rsid w:val="006A64B3"/>
    <w:rsid w:val="006C114C"/>
    <w:rsid w:val="006E76C5"/>
    <w:rsid w:val="00724CC5"/>
    <w:rsid w:val="007529F8"/>
    <w:rsid w:val="00773E70"/>
    <w:rsid w:val="00776A67"/>
    <w:rsid w:val="00783E31"/>
    <w:rsid w:val="007D25D5"/>
    <w:rsid w:val="007D76C0"/>
    <w:rsid w:val="008468A1"/>
    <w:rsid w:val="008474F9"/>
    <w:rsid w:val="00867C90"/>
    <w:rsid w:val="00880626"/>
    <w:rsid w:val="008924F1"/>
    <w:rsid w:val="008F00B0"/>
    <w:rsid w:val="00905ACD"/>
    <w:rsid w:val="0091618B"/>
    <w:rsid w:val="009740D4"/>
    <w:rsid w:val="009830E6"/>
    <w:rsid w:val="009A1313"/>
    <w:rsid w:val="009C1A7F"/>
    <w:rsid w:val="009F2AF2"/>
    <w:rsid w:val="009F5386"/>
    <w:rsid w:val="00A268D9"/>
    <w:rsid w:val="00A53390"/>
    <w:rsid w:val="00A6271A"/>
    <w:rsid w:val="00A76BC1"/>
    <w:rsid w:val="00AC4548"/>
    <w:rsid w:val="00AD105F"/>
    <w:rsid w:val="00AE5BCE"/>
    <w:rsid w:val="00AE603F"/>
    <w:rsid w:val="00B4258A"/>
    <w:rsid w:val="00B602B5"/>
    <w:rsid w:val="00B722F3"/>
    <w:rsid w:val="00BA59A7"/>
    <w:rsid w:val="00BB0285"/>
    <w:rsid w:val="00BD3C24"/>
    <w:rsid w:val="00C040F0"/>
    <w:rsid w:val="00C73E41"/>
    <w:rsid w:val="00C82649"/>
    <w:rsid w:val="00CE08CA"/>
    <w:rsid w:val="00CF4CEC"/>
    <w:rsid w:val="00D03C4B"/>
    <w:rsid w:val="00D24BA4"/>
    <w:rsid w:val="00D55A2A"/>
    <w:rsid w:val="00DD2D3F"/>
    <w:rsid w:val="00E20343"/>
    <w:rsid w:val="00E364C7"/>
    <w:rsid w:val="00E67684"/>
    <w:rsid w:val="00E72282"/>
    <w:rsid w:val="00EA1D97"/>
    <w:rsid w:val="00ED19DB"/>
    <w:rsid w:val="00EE39B7"/>
    <w:rsid w:val="00EE58B2"/>
    <w:rsid w:val="00EE5EFA"/>
    <w:rsid w:val="00F11FD5"/>
    <w:rsid w:val="00F34700"/>
    <w:rsid w:val="00F60DB8"/>
    <w:rsid w:val="00F6253F"/>
    <w:rsid w:val="00F96ABE"/>
    <w:rsid w:val="00FE4F9D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428A"/>
  <w15:docId w15:val="{8043FC90-2AB0-477D-985D-9012ADC1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3E4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12">
    <w:name w:val="Font Style12"/>
    <w:basedOn w:val="a0"/>
    <w:uiPriority w:val="99"/>
    <w:rsid w:val="00C73E41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386"/>
    <w:rPr>
      <w:rFonts w:ascii="Segoe UI" w:hAnsi="Segoe UI" w:cs="Segoe UI"/>
      <w:sz w:val="18"/>
      <w:szCs w:val="18"/>
    </w:rPr>
  </w:style>
  <w:style w:type="paragraph" w:customStyle="1" w:styleId="rvps4">
    <w:name w:val="rvps4"/>
    <w:basedOn w:val="a"/>
    <w:rsid w:val="0013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33982"/>
  </w:style>
  <w:style w:type="paragraph" w:customStyle="1" w:styleId="rvps7">
    <w:name w:val="rvps7"/>
    <w:basedOn w:val="a"/>
    <w:rsid w:val="0013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33982"/>
  </w:style>
  <w:style w:type="paragraph" w:customStyle="1" w:styleId="rvps6">
    <w:name w:val="rvps6"/>
    <w:basedOn w:val="a"/>
    <w:rsid w:val="0013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3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133982"/>
  </w:style>
  <w:style w:type="character" w:customStyle="1" w:styleId="rvts11">
    <w:name w:val="rvts11"/>
    <w:basedOn w:val="a0"/>
    <w:rsid w:val="00133982"/>
  </w:style>
  <w:style w:type="character" w:styleId="aa">
    <w:name w:val="Hyperlink"/>
    <w:basedOn w:val="a0"/>
    <w:uiPriority w:val="99"/>
    <w:semiHidden/>
    <w:unhideWhenUsed/>
    <w:rsid w:val="0013398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3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35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1031874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191874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7095-6BC9-4E4F-A2BD-4999FB5F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ProfiHub12</dc:creator>
  <cp:lastModifiedBy>Sergey Yanchenko</cp:lastModifiedBy>
  <cp:revision>5</cp:revision>
  <cp:lastPrinted>2019-07-25T08:57:00Z</cp:lastPrinted>
  <dcterms:created xsi:type="dcterms:W3CDTF">2019-12-06T12:24:00Z</dcterms:created>
  <dcterms:modified xsi:type="dcterms:W3CDTF">2020-01-10T13:37:00Z</dcterms:modified>
</cp:coreProperties>
</file>